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F" w:rsidRDefault="005D23CE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817500" w:rsidRPr="0071152E">
        <w:rPr>
          <w:rFonts w:cs="Arial"/>
          <w:spacing w:val="-3"/>
          <w:sz w:val="20"/>
          <w:szCs w:val="20"/>
        </w:rPr>
        <w:t>Address issues related to behavioral health emergency response, manage the behavioral health care area, and coordinate behavioral health response activities.</w:t>
      </w:r>
    </w:p>
    <w:p w:rsidR="00817500" w:rsidRPr="005D4022" w:rsidRDefault="00817500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970E1" w:rsidP="00FA7D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970E1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45pt,17.95pt" to="467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5970E1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  <w:proofErr w:type="gramEnd"/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  <w:proofErr w:type="gramEnd"/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  <w:proofErr w:type="gramEnd"/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  <w:proofErr w:type="gramEnd"/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  <w:proofErr w:type="gramEnd"/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  <w:proofErr w:type="gramEnd"/>
          </w:p>
        </w:tc>
      </w:tr>
    </w:tbl>
    <w:p w:rsidR="00C41837" w:rsidRPr="00221FB1" w:rsidRDefault="00C41837" w:rsidP="00D246C7">
      <w:pPr>
        <w:rPr>
          <w:rFonts w:cs="Arial"/>
          <w:sz w:val="3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67637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67637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67637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67637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67637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817500">
              <w:rPr>
                <w:rFonts w:cs="Arial"/>
                <w:spacing w:val="-3"/>
                <w:sz w:val="20"/>
                <w:szCs w:val="20"/>
              </w:rPr>
              <w:t>Behavioral Health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817500" w:rsidRPr="00DD2EE7" w:rsidRDefault="00817500" w:rsidP="008175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Obtain information from the Medical Care Branch Director including:</w:t>
            </w:r>
          </w:p>
          <w:p w:rsidR="00817500" w:rsidRPr="00817500" w:rsidRDefault="00817500" w:rsidP="00817500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Number and condition of expected patients</w:t>
            </w:r>
          </w:p>
          <w:p w:rsidR="00817500" w:rsidRPr="00817500" w:rsidRDefault="00817500" w:rsidP="00817500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Estimated arrival time to hospital</w:t>
            </w:r>
          </w:p>
          <w:p w:rsidR="00817500" w:rsidRPr="00817500" w:rsidRDefault="00817500" w:rsidP="00817500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 xml:space="preserve">Locations of people who may or may not be victims of the event arriving at the hospital or who are calling to ask for assistance </w:t>
            </w:r>
          </w:p>
          <w:p w:rsidR="00817500" w:rsidRPr="00817500" w:rsidRDefault="00817500" w:rsidP="00817500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Any special circumstances that must be addressed due to the nature of the incident, such as special languages, cultural needs, or security concerns</w:t>
            </w:r>
          </w:p>
          <w:p w:rsidR="00817500" w:rsidRPr="00BF05ED" w:rsidRDefault="00817500" w:rsidP="008175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Deter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mine the status of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behavioral health area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817500" w:rsidRPr="00EE30F4" w:rsidRDefault="00817500" w:rsidP="008175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Assess current capabilities and project immediate and prolonged capacities to address behavioral health needs based on current data, including coordinating behavioral health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needs of patients, families,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and staff</w:t>
            </w:r>
          </w:p>
          <w:p w:rsidR="006302D8" w:rsidRPr="006302D8" w:rsidRDefault="00817500" w:rsidP="008175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Provide information to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 Care Branch Director on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EE2544" w:rsidRPr="00EE2544" w:rsidRDefault="00EE2544" w:rsidP="00EE2544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221FB1" w:rsidRPr="00221FB1" w:rsidRDefault="00FA7D2F" w:rsidP="00221FB1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Based on the incident objectives for the response period consider the issues and </w:t>
            </w:r>
          </w:p>
          <w:p w:rsidR="00FA7D2F" w:rsidRDefault="00221FB1" w:rsidP="00221FB1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        </w:t>
            </w:r>
            <w:r w:rsidR="00FA7D2F" w:rsidRPr="00221FB1">
              <w:rPr>
                <w:rFonts w:cs="Arial"/>
                <w:spacing w:val="-3"/>
                <w:sz w:val="20"/>
                <w:szCs w:val="20"/>
              </w:rPr>
              <w:t>priorities:</w:t>
            </w:r>
          </w:p>
          <w:p w:rsidR="00221FB1" w:rsidRPr="00221FB1" w:rsidRDefault="00221FB1" w:rsidP="00221FB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FA7D2F" w:rsidRDefault="00817500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Appoint Behavioral Health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Medical Care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6302D8" w:rsidRPr="00FA7D2F" w:rsidRDefault="00FA7D2F" w:rsidP="00FA7D2F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17500" w:rsidRPr="00E704A9" w:rsidRDefault="00235F1D" w:rsidP="00E704A9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817500" w:rsidRPr="00DD2EE7" w:rsidRDefault="00817500" w:rsidP="008175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z w:val="20"/>
                <w:szCs w:val="20"/>
              </w:rPr>
              <w:t xml:space="preserve">Meet with the </w:t>
            </w:r>
            <w:r>
              <w:rPr>
                <w:rFonts w:cs="Arial"/>
                <w:sz w:val="20"/>
                <w:szCs w:val="20"/>
              </w:rPr>
              <w:t>Medical Care Branch Director</w:t>
            </w:r>
            <w:r w:rsidRPr="00DD2EE7">
              <w:rPr>
                <w:rFonts w:cs="Arial"/>
                <w:sz w:val="20"/>
                <w:szCs w:val="20"/>
              </w:rPr>
              <w:t xml:space="preserve"> and </w:t>
            </w:r>
            <w:r w:rsidR="000632A1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DD2EE7">
              <w:rPr>
                <w:rFonts w:cs="Arial"/>
                <w:sz w:val="20"/>
                <w:szCs w:val="20"/>
              </w:rPr>
              <w:t xml:space="preserve">Employee Health and Well-Being Unit Leader to plan, project, and coordinate behavioral health needs of </w:t>
            </w:r>
            <w:r>
              <w:rPr>
                <w:rFonts w:cs="Arial"/>
                <w:sz w:val="20"/>
                <w:szCs w:val="20"/>
              </w:rPr>
              <w:t>patients, families</w:t>
            </w:r>
            <w:r w:rsidRPr="00DD2EE7">
              <w:rPr>
                <w:rFonts w:cs="Arial"/>
                <w:sz w:val="20"/>
                <w:szCs w:val="20"/>
              </w:rPr>
              <w:t>, and staf</w:t>
            </w:r>
            <w:r>
              <w:rPr>
                <w:rFonts w:cs="Arial"/>
                <w:sz w:val="20"/>
                <w:szCs w:val="20"/>
              </w:rPr>
              <w:t>f</w:t>
            </w:r>
          </w:p>
          <w:p w:rsidR="00817500" w:rsidRPr="00EE30F4" w:rsidRDefault="00817500" w:rsidP="008175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z w:val="20"/>
                <w:szCs w:val="20"/>
              </w:rPr>
              <w:t xml:space="preserve">Provide behavioral health guidance and recommendations to the Medical Care Branch </w:t>
            </w:r>
            <w:r>
              <w:rPr>
                <w:rFonts w:cs="Arial"/>
                <w:sz w:val="20"/>
                <w:szCs w:val="20"/>
              </w:rPr>
              <w:t>D</w:t>
            </w:r>
            <w:r w:rsidRPr="00DD2EE7">
              <w:rPr>
                <w:rFonts w:cs="Arial"/>
                <w:sz w:val="20"/>
                <w:szCs w:val="20"/>
              </w:rPr>
              <w:t>irector based on response needs and potential triggers of psychological effects (</w:t>
            </w:r>
            <w:r>
              <w:rPr>
                <w:rFonts w:cs="Arial"/>
                <w:sz w:val="20"/>
                <w:szCs w:val="20"/>
              </w:rPr>
              <w:t>e.g.,</w:t>
            </w:r>
            <w:r w:rsidRPr="00DD2EE7">
              <w:rPr>
                <w:rFonts w:cs="Arial"/>
                <w:sz w:val="20"/>
                <w:szCs w:val="20"/>
              </w:rPr>
              <w:t xml:space="preserve"> trauma exposure, perceived risk to staff and family, restrictions on movement, resource limitations, and information unavailability)</w:t>
            </w:r>
          </w:p>
          <w:p w:rsidR="00817500" w:rsidRPr="00DD2EE7" w:rsidRDefault="00817500" w:rsidP="008175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Communicate with </w:t>
            </w:r>
            <w:r w:rsidR="000632A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Medical Care Branch Director and </w:t>
            </w:r>
            <w:r w:rsidR="000632A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Planning Section Chief to ensure:</w:t>
            </w:r>
          </w:p>
          <w:p w:rsidR="00817500" w:rsidRPr="00817500" w:rsidRDefault="00817500" w:rsidP="00817500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Bed availability in inpatient psychiatry units, if applicable</w:t>
            </w:r>
          </w:p>
          <w:p w:rsidR="00817500" w:rsidRPr="00817500" w:rsidRDefault="00817500" w:rsidP="00817500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Additional short and long range behavioral health response needs</w:t>
            </w:r>
          </w:p>
          <w:p w:rsidR="00817500" w:rsidRPr="00817500" w:rsidRDefault="00817500" w:rsidP="00817500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17500">
              <w:rPr>
                <w:rFonts w:cs="Arial"/>
                <w:spacing w:val="-3"/>
                <w:sz w:val="20"/>
                <w:szCs w:val="20"/>
              </w:rPr>
              <w:t>Medical community behavioral health care guidance</w:t>
            </w:r>
          </w:p>
          <w:p w:rsidR="00817500" w:rsidRPr="00DD2EE7" w:rsidRDefault="00817500" w:rsidP="008175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z w:val="20"/>
                <w:szCs w:val="20"/>
              </w:rPr>
              <w:t>Determine staffing needs and place request</w:t>
            </w:r>
            <w:r w:rsidR="00B27D9E">
              <w:rPr>
                <w:rFonts w:cs="Arial"/>
                <w:sz w:val="20"/>
                <w:szCs w:val="20"/>
              </w:rPr>
              <w:t>s</w:t>
            </w:r>
            <w:r w:rsidRPr="00DD2EE7">
              <w:rPr>
                <w:rFonts w:cs="Arial"/>
                <w:sz w:val="20"/>
                <w:szCs w:val="20"/>
              </w:rPr>
              <w:t xml:space="preserve"> wit</w:t>
            </w:r>
            <w:r>
              <w:rPr>
                <w:rFonts w:cs="Arial"/>
                <w:sz w:val="20"/>
                <w:szCs w:val="20"/>
              </w:rPr>
              <w:t>h</w:t>
            </w:r>
            <w:r w:rsidR="00B27D9E">
              <w:rPr>
                <w:rFonts w:cs="Arial"/>
                <w:sz w:val="20"/>
                <w:szCs w:val="20"/>
              </w:rPr>
              <w:t xml:space="preserve"> the</w:t>
            </w:r>
            <w:r>
              <w:rPr>
                <w:rFonts w:cs="Arial"/>
                <w:sz w:val="20"/>
                <w:szCs w:val="20"/>
              </w:rPr>
              <w:t xml:space="preserve"> Medical Care Branch Director for </w:t>
            </w:r>
            <w:r w:rsidRPr="00DD2EE7">
              <w:rPr>
                <w:rFonts w:cs="Arial"/>
                <w:sz w:val="20"/>
                <w:szCs w:val="20"/>
              </w:rPr>
              <w:t>behavioral health</w:t>
            </w:r>
            <w:r>
              <w:rPr>
                <w:rFonts w:cs="Arial"/>
                <w:sz w:val="20"/>
                <w:szCs w:val="20"/>
              </w:rPr>
              <w:t xml:space="preserve"> personnel, nurses</w:t>
            </w:r>
            <w:r w:rsidRPr="00DD2EE7">
              <w:rPr>
                <w:rFonts w:cs="Arial"/>
                <w:sz w:val="20"/>
                <w:szCs w:val="20"/>
              </w:rPr>
              <w:t>, chaplains, experienced volunteers, etc.</w:t>
            </w:r>
            <w:r>
              <w:rPr>
                <w:rFonts w:cs="Arial"/>
                <w:sz w:val="20"/>
                <w:szCs w:val="20"/>
              </w:rPr>
              <w:t>,</w:t>
            </w:r>
            <w:r w:rsidRPr="00DD2EE7">
              <w:rPr>
                <w:rFonts w:cs="Arial"/>
                <w:sz w:val="20"/>
                <w:szCs w:val="20"/>
              </w:rPr>
              <w:t xml:space="preserve"> that can be deployed to key areas of the </w:t>
            </w:r>
            <w:r>
              <w:rPr>
                <w:rFonts w:cs="Arial"/>
                <w:sz w:val="20"/>
                <w:szCs w:val="20"/>
              </w:rPr>
              <w:t>hospital</w:t>
            </w:r>
            <w:r w:rsidRPr="00DD2EE7">
              <w:rPr>
                <w:rFonts w:cs="Arial"/>
                <w:sz w:val="20"/>
                <w:szCs w:val="20"/>
              </w:rPr>
              <w:t xml:space="preserve"> to provide psychological support and intervention</w:t>
            </w:r>
          </w:p>
          <w:p w:rsidR="00817500" w:rsidRPr="00DD2EE7" w:rsidRDefault="00817500" w:rsidP="008175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z w:val="20"/>
                <w:szCs w:val="20"/>
              </w:rPr>
              <w:t xml:space="preserve">Determine equipment and supply needs such as toys and coloring supplies for children, behavioral </w:t>
            </w:r>
            <w:proofErr w:type="gramStart"/>
            <w:r w:rsidRPr="00DD2EE7">
              <w:rPr>
                <w:rFonts w:cs="Arial"/>
                <w:sz w:val="20"/>
                <w:szCs w:val="20"/>
              </w:rPr>
              <w:t>health disaster recovery brochures</w:t>
            </w:r>
            <w:proofErr w:type="gramEnd"/>
            <w:r w:rsidRPr="00DD2EE7">
              <w:rPr>
                <w:rFonts w:cs="Arial"/>
                <w:sz w:val="20"/>
                <w:szCs w:val="20"/>
              </w:rPr>
              <w:t xml:space="preserve">, fact sheets on specific hazards (e.g., information on chemical agents that include symptoms of exposure), </w:t>
            </w:r>
            <w:r w:rsidR="0094506C">
              <w:rPr>
                <w:rFonts w:cs="Arial"/>
                <w:sz w:val="20"/>
                <w:szCs w:val="20"/>
              </w:rPr>
              <w:t xml:space="preserve">a </w:t>
            </w:r>
            <w:r w:rsidRPr="00DD2EE7">
              <w:rPr>
                <w:rFonts w:cs="Arial"/>
                <w:sz w:val="20"/>
                <w:szCs w:val="20"/>
              </w:rPr>
              <w:t xml:space="preserve">private area in the </w:t>
            </w:r>
            <w:r w:rsidR="0094506C">
              <w:rPr>
                <w:rFonts w:cs="Arial"/>
                <w:sz w:val="20"/>
                <w:szCs w:val="20"/>
              </w:rPr>
              <w:t xml:space="preserve">hospital </w:t>
            </w:r>
            <w:r w:rsidRPr="00DD2EE7">
              <w:rPr>
                <w:rFonts w:cs="Arial"/>
                <w:sz w:val="20"/>
                <w:szCs w:val="20"/>
              </w:rPr>
              <w:t>where family members can wait for news regarding their loved ones, etc.</w:t>
            </w:r>
          </w:p>
          <w:p w:rsidR="00817500" w:rsidRPr="0094506C" w:rsidRDefault="00817500" w:rsidP="0094506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4506C">
              <w:rPr>
                <w:rFonts w:cs="Arial"/>
                <w:sz w:val="20"/>
                <w:szCs w:val="20"/>
              </w:rPr>
              <w:t>Ensure availability of medications necessary to treat behavioral health emergencies as needed</w:t>
            </w:r>
          </w:p>
          <w:p w:rsidR="00817500" w:rsidRPr="00817500" w:rsidRDefault="00817500" w:rsidP="0081750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bCs/>
                <w:spacing w:val="-3"/>
                <w:sz w:val="20"/>
                <w:szCs w:val="20"/>
              </w:rPr>
              <w:t>Provide status updates to the Medical Care Branch Director regularly to discuss Incident Action Plan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(IAP)</w:t>
            </w:r>
            <w:r w:rsidRPr="00DD2EE7">
              <w:rPr>
                <w:rFonts w:cs="Arial"/>
                <w:bCs/>
                <w:spacing w:val="-3"/>
                <w:sz w:val="20"/>
                <w:szCs w:val="20"/>
              </w:rPr>
              <w:t>, advising of accomplishments and issues encountered</w:t>
            </w:r>
          </w:p>
          <w:p w:rsidR="004B0D17" w:rsidRDefault="004B0D17" w:rsidP="004B0D17">
            <w:pPr>
              <w:pStyle w:val="ListParagraph"/>
              <w:numPr>
                <w:ilvl w:val="0"/>
                <w:numId w:val="2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Medical Care Branch Director if requested</w:t>
            </w:r>
          </w:p>
          <w:p w:rsidR="003629EE" w:rsidRPr="00AE0F1C" w:rsidRDefault="00FA7D2F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F578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647BC6">
              <w:rPr>
                <w:rFonts w:cs="Arial"/>
                <w:sz w:val="20"/>
                <w:szCs w:val="20"/>
              </w:rPr>
              <w:t>Medical Care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3CC9" w:rsidRPr="005D4022" w:rsidTr="00E03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03CC9" w:rsidRPr="005D4022" w:rsidRDefault="00E03CC9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1FB1" w:rsidRDefault="00221FB1">
      <w:r>
        <w:br w:type="page"/>
      </w:r>
    </w:p>
    <w:tbl>
      <w:tblPr>
        <w:tblW w:w="49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4B630F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EE2544" w:rsidRPr="005F2046" w:rsidRDefault="00642069" w:rsidP="005F2046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AE0F1C" w:rsidRPr="00B530B7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B530B7" w:rsidRPr="00AE0F1C" w:rsidRDefault="00B530B7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642069" w:rsidRPr="004B0D17" w:rsidRDefault="00AE0F1C" w:rsidP="004B0D1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 w:rsidR="00642069"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 w:rsidR="0054080E"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 w:rsidR="00FA69B7"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A6340" w:rsidRPr="00221FB1" w:rsidRDefault="005A6340" w:rsidP="00D246C7">
      <w:pPr>
        <w:rPr>
          <w:rFonts w:cs="Arial"/>
          <w:sz w:val="36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</w:t>
            </w:r>
            <w:r w:rsidR="00E704A9">
              <w:rPr>
                <w:rFonts w:cs="Arial"/>
                <w:spacing w:val="-3"/>
                <w:sz w:val="20"/>
                <w:szCs w:val="20"/>
              </w:rPr>
              <w:t xml:space="preserve"> Behavioral Health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704A9" w:rsidRPr="00DD2EE7" w:rsidRDefault="00E704A9" w:rsidP="00E704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Continue to ensure that appropriate behavioral health standards of care are being followed and behavioral health needs are being met</w:t>
            </w:r>
          </w:p>
          <w:p w:rsidR="00E704A9" w:rsidRPr="00E704A9" w:rsidRDefault="00E704A9" w:rsidP="00E704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704A9">
              <w:rPr>
                <w:rFonts w:cs="Arial"/>
                <w:spacing w:val="-3"/>
                <w:sz w:val="20"/>
                <w:szCs w:val="20"/>
              </w:rPr>
              <w:t xml:space="preserve">Participate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704A9">
              <w:rPr>
                <w:rFonts w:cs="Arial"/>
                <w:spacing w:val="-3"/>
                <w:sz w:val="20"/>
                <w:szCs w:val="20"/>
              </w:rPr>
              <w:t>development of risk communication and public information that addresses behavioral health concerns</w:t>
            </w:r>
          </w:p>
          <w:p w:rsidR="00E704A9" w:rsidRPr="009428C2" w:rsidRDefault="00E704A9" w:rsidP="00E704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Ensure that patient status and location information is regularly submitted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Patient Tracking Officer</w:t>
            </w:r>
          </w:p>
          <w:p w:rsidR="00E704A9" w:rsidRPr="009428C2" w:rsidRDefault="00E704A9" w:rsidP="00E704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428C2">
              <w:rPr>
                <w:rFonts w:cs="Arial"/>
                <w:spacing w:val="-3"/>
                <w:sz w:val="20"/>
                <w:szCs w:val="20"/>
              </w:rPr>
              <w:t>Prioritize and coordinate patient transfers with the Medical Care Branch Director and the Logistics Section Transportation Unit Leader</w:t>
            </w:r>
          </w:p>
          <w:p w:rsidR="00AD774B" w:rsidRPr="00E704A9" w:rsidRDefault="00E704A9" w:rsidP="00E704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Medical Care Branch Director and </w:t>
            </w:r>
            <w:r w:rsidR="000632A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Logistics and Pl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anning Section Chiefs to expand or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create a provisional </w:t>
            </w:r>
            <w:r>
              <w:rPr>
                <w:rFonts w:cs="Arial"/>
                <w:spacing w:val="-3"/>
                <w:sz w:val="20"/>
                <w:szCs w:val="20"/>
              </w:rPr>
              <w:t>b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ehavioral 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ealth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care a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rea, if necessary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F578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0632A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704A9" w:rsidRPr="00221FB1" w:rsidRDefault="00E704A9" w:rsidP="00D246C7">
      <w:pPr>
        <w:rPr>
          <w:rFonts w:cs="Arial"/>
          <w:sz w:val="36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E704A9">
              <w:rPr>
                <w:rFonts w:cs="Arial"/>
                <w:spacing w:val="-3"/>
                <w:sz w:val="20"/>
                <w:szCs w:val="20"/>
              </w:rPr>
              <w:t>Behavioral Health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704A9" w:rsidRPr="00DD2EE7" w:rsidRDefault="00E704A9" w:rsidP="00E704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Continue behavioral health area supervision, including monitoring quality of care,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E704A9" w:rsidRPr="00DD2EE7" w:rsidRDefault="00E704A9" w:rsidP="00E704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Continue to 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behavioral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health needs of patient</w:t>
            </w:r>
            <w:r>
              <w:rPr>
                <w:rFonts w:cs="Arial"/>
                <w:spacing w:val="-3"/>
                <w:sz w:val="20"/>
                <w:szCs w:val="20"/>
              </w:rPr>
              <w:t>s and families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are being met</w:t>
            </w:r>
          </w:p>
          <w:p w:rsidR="00E704A9" w:rsidRPr="00EE30F4" w:rsidRDefault="00E704A9" w:rsidP="00E704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>Continue to ensure the provision of resources for behavioral health and reco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very, and education to children, families,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and those with special needs</w:t>
            </w:r>
          </w:p>
          <w:p w:rsidR="007356C5" w:rsidRPr="00E704A9" w:rsidRDefault="00E704A9" w:rsidP="00E704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Medical Care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F578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4B0D1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0D17" w:rsidRDefault="004B0D1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4B0D17" w:rsidRDefault="004B0D17" w:rsidP="004B0D17">
            <w:pPr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4B0D17" w:rsidRDefault="004B0D17" w:rsidP="004B0D17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4B0D17" w:rsidRDefault="004B0D17" w:rsidP="004B0D17">
            <w:pPr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4B0D17" w:rsidRDefault="004B0D17" w:rsidP="004B0D17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4B0D17" w:rsidRDefault="004B0D17" w:rsidP="004B0D17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0D17" w:rsidRDefault="004B0D17">
            <w:pPr>
              <w:rPr>
                <w:rFonts w:cs="Arial"/>
                <w:sz w:val="20"/>
                <w:szCs w:val="20"/>
              </w:rPr>
            </w:pPr>
          </w:p>
          <w:p w:rsidR="004B0D17" w:rsidRDefault="004B0D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0D17" w:rsidRPr="005D4022" w:rsidRDefault="004B0D17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21FB1" w:rsidRDefault="00221FB1" w:rsidP="00D246C7">
      <w:pPr>
        <w:rPr>
          <w:rFonts w:cs="Arial"/>
          <w:sz w:val="36"/>
          <w:szCs w:val="32"/>
        </w:rPr>
      </w:pPr>
    </w:p>
    <w:p w:rsidR="00221FB1" w:rsidRDefault="00221FB1">
      <w:pPr>
        <w:rPr>
          <w:rFonts w:cs="Arial"/>
          <w:sz w:val="36"/>
          <w:szCs w:val="32"/>
        </w:rPr>
      </w:pPr>
      <w:r>
        <w:rPr>
          <w:rFonts w:cs="Arial"/>
          <w:sz w:val="36"/>
          <w:szCs w:val="32"/>
        </w:rPr>
        <w:br w:type="page"/>
      </w:r>
    </w:p>
    <w:p w:rsidR="00EE2544" w:rsidRPr="00221FB1" w:rsidRDefault="00EE2544" w:rsidP="00D246C7">
      <w:pPr>
        <w:rPr>
          <w:rFonts w:cs="Arial"/>
          <w:sz w:val="36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E704A9">
              <w:rPr>
                <w:rFonts w:cs="Arial"/>
                <w:spacing w:val="-3"/>
                <w:sz w:val="20"/>
                <w:szCs w:val="20"/>
              </w:rPr>
              <w:t>Behavioral Health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704A9" w:rsidRPr="00E704A9" w:rsidRDefault="00E704A9" w:rsidP="00E704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Coordinate a plan to address the ongoing behavioral health needs of patients, families, and staff, in conjunction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67637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67637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21FB1" w:rsidRDefault="00221FB1" w:rsidP="00D246C7">
      <w:pPr>
        <w:rPr>
          <w:rFonts w:cs="Arial"/>
          <w:sz w:val="36"/>
          <w:szCs w:val="32"/>
        </w:rPr>
      </w:pPr>
    </w:p>
    <w:p w:rsidR="00221FB1" w:rsidRDefault="00221FB1">
      <w:pPr>
        <w:rPr>
          <w:rFonts w:cs="Arial"/>
          <w:sz w:val="36"/>
          <w:szCs w:val="32"/>
        </w:rPr>
      </w:pPr>
      <w:r>
        <w:rPr>
          <w:rFonts w:cs="Arial"/>
          <w:sz w:val="36"/>
          <w:szCs w:val="32"/>
        </w:rPr>
        <w:br w:type="page"/>
      </w:r>
    </w:p>
    <w:p w:rsidR="00D246C7" w:rsidRPr="00221FB1" w:rsidRDefault="00D246C7" w:rsidP="00D246C7">
      <w:pPr>
        <w:rPr>
          <w:rFonts w:cs="Arial"/>
          <w:sz w:val="36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AA0D68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AA0D68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AA0D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EF578C">
              <w:rPr>
                <w:sz w:val="20"/>
                <w:szCs w:val="20"/>
              </w:rPr>
              <w:t xml:space="preserve"> F</w:t>
            </w:r>
            <w:r w:rsidR="00FD4CB6">
              <w:rPr>
                <w:sz w:val="20"/>
                <w:szCs w:val="20"/>
              </w:rPr>
              <w:t>orm</w:t>
            </w:r>
          </w:p>
          <w:p w:rsidR="00AA25CE" w:rsidRDefault="00AA25CE" w:rsidP="00AA0D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AA0D68" w:rsidRPr="00AA0D68" w:rsidRDefault="00AA0D68" w:rsidP="00AA0D68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AA0D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AA0D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AA0D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AA0D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AA25CE" w:rsidRPr="00BE31E1" w:rsidRDefault="00AA25CE" w:rsidP="00AA0D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Pr="00BE31E1" w:rsidRDefault="00AA25CE" w:rsidP="00AA0D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AA0D6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76EBB" w:rsidRPr="00D15830" w:rsidRDefault="00AA25CE" w:rsidP="00AA0D68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66B24" w:rsidRPr="005D4022" w:rsidRDefault="00066B24" w:rsidP="00D246C7">
      <w:pPr>
        <w:ind w:left="1080" w:hanging="1080"/>
        <w:rPr>
          <w:rFonts w:cs="Arial"/>
          <w:sz w:val="20"/>
          <w:szCs w:val="20"/>
        </w:rPr>
      </w:pPr>
    </w:p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5E" w:rsidRDefault="0030775E">
      <w:r>
        <w:separator/>
      </w:r>
    </w:p>
  </w:endnote>
  <w:endnote w:type="continuationSeparator" w:id="0">
    <w:p w:rsidR="0030775E" w:rsidRDefault="0030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91129CD" wp14:editId="627D82D9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F1288B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5970E1">
      <w:rPr>
        <w:rStyle w:val="PageNumber"/>
        <w:noProof/>
        <w:sz w:val="12"/>
        <w:szCs w:val="12"/>
      </w:rPr>
      <w:t>2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A63DF7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5E" w:rsidRDefault="0030775E">
      <w:r>
        <w:separator/>
      </w:r>
    </w:p>
  </w:footnote>
  <w:footnote w:type="continuationSeparator" w:id="0">
    <w:p w:rsidR="0030775E" w:rsidRDefault="0030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817500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BEHAVIORAL HEALTH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07008"/>
    <w:multiLevelType w:val="hybridMultilevel"/>
    <w:tmpl w:val="4F82915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B131C"/>
    <w:multiLevelType w:val="hybridMultilevel"/>
    <w:tmpl w:val="8CAE8A0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88B6FA7"/>
    <w:multiLevelType w:val="hybridMultilevel"/>
    <w:tmpl w:val="8C44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23"/>
  </w:num>
  <w:num w:numId="6">
    <w:abstractNumId w:val="8"/>
  </w:num>
  <w:num w:numId="7">
    <w:abstractNumId w:val="12"/>
  </w:num>
  <w:num w:numId="8">
    <w:abstractNumId w:val="21"/>
  </w:num>
  <w:num w:numId="9">
    <w:abstractNumId w:val="2"/>
  </w:num>
  <w:num w:numId="10">
    <w:abstractNumId w:val="14"/>
  </w:num>
  <w:num w:numId="11">
    <w:abstractNumId w:val="4"/>
  </w:num>
  <w:num w:numId="12">
    <w:abstractNumId w:val="16"/>
  </w:num>
  <w:num w:numId="13">
    <w:abstractNumId w:val="19"/>
  </w:num>
  <w:num w:numId="14">
    <w:abstractNumId w:val="17"/>
  </w:num>
  <w:num w:numId="15">
    <w:abstractNumId w:val="20"/>
  </w:num>
  <w:num w:numId="16">
    <w:abstractNumId w:val="7"/>
  </w:num>
  <w:num w:numId="17">
    <w:abstractNumId w:val="24"/>
  </w:num>
  <w:num w:numId="18">
    <w:abstractNumId w:val="15"/>
  </w:num>
  <w:num w:numId="19">
    <w:abstractNumId w:val="10"/>
  </w:num>
  <w:num w:numId="20">
    <w:abstractNumId w:val="1"/>
  </w:num>
  <w:num w:numId="21">
    <w:abstractNumId w:val="9"/>
  </w:num>
  <w:num w:numId="22">
    <w:abstractNumId w:val="18"/>
  </w:num>
  <w:num w:numId="23">
    <w:abstractNumId w:val="5"/>
  </w:num>
  <w:num w:numId="24">
    <w:abstractNumId w:val="11"/>
  </w:num>
  <w:num w:numId="25">
    <w:abstractNumId w:val="24"/>
  </w:num>
  <w:num w:numId="26">
    <w:abstractNumId w:val="13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10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43A0C"/>
    <w:rsid w:val="000505D9"/>
    <w:rsid w:val="000507D5"/>
    <w:rsid w:val="00052FC7"/>
    <w:rsid w:val="000550B1"/>
    <w:rsid w:val="0005734D"/>
    <w:rsid w:val="00061EBE"/>
    <w:rsid w:val="000632A1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1FB1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0775E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3950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0D17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600C1"/>
    <w:rsid w:val="0056110A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0E1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2046"/>
    <w:rsid w:val="005F4AAA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7637C"/>
    <w:rsid w:val="006918B8"/>
    <w:rsid w:val="006B3E98"/>
    <w:rsid w:val="006B410F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72E82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500"/>
    <w:rsid w:val="00817844"/>
    <w:rsid w:val="008253EF"/>
    <w:rsid w:val="00826FE4"/>
    <w:rsid w:val="008301C3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506C"/>
    <w:rsid w:val="00946727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3DF7"/>
    <w:rsid w:val="00A700EB"/>
    <w:rsid w:val="00A82E0D"/>
    <w:rsid w:val="00A8701B"/>
    <w:rsid w:val="00A87587"/>
    <w:rsid w:val="00A95BB8"/>
    <w:rsid w:val="00A96488"/>
    <w:rsid w:val="00AA0D6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D9E"/>
    <w:rsid w:val="00B27EAE"/>
    <w:rsid w:val="00B30578"/>
    <w:rsid w:val="00B35282"/>
    <w:rsid w:val="00B3782C"/>
    <w:rsid w:val="00B37867"/>
    <w:rsid w:val="00B52873"/>
    <w:rsid w:val="00B530B7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2D91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5A9B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D9B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5524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3CC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5352D"/>
    <w:rsid w:val="00E637FC"/>
    <w:rsid w:val="00E65275"/>
    <w:rsid w:val="00E6589C"/>
    <w:rsid w:val="00E704A9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E2544"/>
    <w:rsid w:val="00EF20CA"/>
    <w:rsid w:val="00EF4470"/>
    <w:rsid w:val="00EF578C"/>
    <w:rsid w:val="00F07D71"/>
    <w:rsid w:val="00F1288B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4CB6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8189B-B6B3-4604-BA4A-764FA23A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16</TotalTime>
  <Pages>6</Pages>
  <Words>1791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Unit Leader</dc:title>
  <dc:creator>CA EMSA</dc:creator>
  <cp:lastModifiedBy>Capps, Lauran@EMSA</cp:lastModifiedBy>
  <cp:revision>16</cp:revision>
  <cp:lastPrinted>2013-02-13T17:23:00Z</cp:lastPrinted>
  <dcterms:created xsi:type="dcterms:W3CDTF">2014-01-23T00:24:00Z</dcterms:created>
  <dcterms:modified xsi:type="dcterms:W3CDTF">2014-04-15T22:22:00Z</dcterms:modified>
</cp:coreProperties>
</file>